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bookmarkStart w:id="0" w:name="_GoBack"/>
      <w:bookmarkEnd w:id="0"/>
      <w:r w:rsidRPr="00DA2F4C">
        <w:rPr>
          <w:rFonts w:ascii="Times New Roman Kaz" w:hAnsi="Times New Roman Kaz"/>
          <w:i/>
          <w:noProof/>
          <w:sz w:val="28"/>
          <w:szCs w:val="28"/>
        </w:rPr>
        <w:t>Жылжымалы құрам</w:t>
      </w:r>
      <w:r>
        <w:rPr>
          <w:rFonts w:ascii="Times New Roman Kaz" w:hAnsi="Times New Roman Kaz"/>
          <w:i/>
          <w:noProof/>
          <w:sz w:val="28"/>
          <w:szCs w:val="28"/>
        </w:rPr>
        <w:t>дар,</w:t>
      </w:r>
      <w:r w:rsidRPr="00DA2F4C">
        <w:rPr>
          <w:rFonts w:ascii="Times New Roman Kaz" w:hAnsi="Times New Roman Kaz"/>
          <w:noProof/>
          <w:sz w:val="28"/>
          <w:szCs w:val="28"/>
        </w:rPr>
        <w:t xml:space="preserve"> деп – жүктерді және адамдарды тасымалдауға арналған көлік құралдарын айтамыз. Олар – автомобильдер, тартқыштар, тіркемелер, жартылай тіркемелер және арнайы қызмет автомобильдері. Автомобиль көлігінде тасымалдауды жүзеге асыру үшін, тасымалданатын жүктің түріне және сипатына сәйкес жылжымалы құрам  қажет.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Ав</w:t>
      </w:r>
      <w:r>
        <w:rPr>
          <w:rFonts w:ascii="Times New Roman Kaz" w:hAnsi="Times New Roman Kaz"/>
          <w:noProof/>
          <w:sz w:val="28"/>
          <w:szCs w:val="28"/>
        </w:rPr>
        <w:t>токөлік құралдарын классификация</w:t>
      </w:r>
      <w:r w:rsidRPr="00DA2F4C">
        <w:rPr>
          <w:rFonts w:ascii="Times New Roman Kaz" w:hAnsi="Times New Roman Kaz"/>
          <w:noProof/>
          <w:sz w:val="28"/>
          <w:szCs w:val="28"/>
        </w:rPr>
        <w:t>лау не үшін қажет? Берілген жағдайда пайдалануға ыңғайлы жылжымалы құрам  таңдауды оңтайландыру, оларды құрастыру және өндіру барысында қажетті сапасы  мен қасиеттін қарастырған жөн.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АКҚ (жылжымалы құрадар) – құрамына, орындайтын жұмысына қарай және жол регламентация сы, басқа бегілері  бойынша  бірнеше түрге бөлінеді.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 xml:space="preserve">Орындайтын жұмысына қарай – </w:t>
      </w:r>
      <w:r w:rsidRPr="00DA2F4C">
        <w:rPr>
          <w:rFonts w:ascii="Times New Roman Kaz" w:hAnsi="Times New Roman Kaz"/>
          <w:i/>
          <w:sz w:val="28"/>
          <w:szCs w:val="28"/>
        </w:rPr>
        <w:t>көліктік</w:t>
      </w:r>
      <w:r w:rsidRPr="00DA2F4C">
        <w:rPr>
          <w:rFonts w:ascii="Times New Roman Kaz" w:hAnsi="Times New Roman Kaz"/>
          <w:sz w:val="28"/>
          <w:szCs w:val="28"/>
        </w:rPr>
        <w:t xml:space="preserve"> және </w:t>
      </w:r>
      <w:r w:rsidRPr="00DA2F4C">
        <w:rPr>
          <w:rFonts w:ascii="Times New Roman Kaz" w:hAnsi="Times New Roman Kaz"/>
          <w:i/>
          <w:sz w:val="28"/>
          <w:szCs w:val="28"/>
        </w:rPr>
        <w:t>арнайы</w:t>
      </w:r>
      <w:r w:rsidRPr="00DA2F4C">
        <w:rPr>
          <w:rFonts w:ascii="Times New Roman Kaz" w:hAnsi="Times New Roman Kaz"/>
          <w:sz w:val="28"/>
          <w:szCs w:val="28"/>
        </w:rPr>
        <w:t xml:space="preserve"> болып бөлінеді.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Көлік құралдары – жүк және жолаушы тасымалдаушы  көлік құралдары болып бөлінеді. 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Жүк көлік құралы – жалпы пайдалану кузовты және арнайы кузовты көлік құралдар.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Жолаушы көліктің құралдары – автобустар (қалалық, қалааралық және арнайы) және жеңіл автомобильдерге бөлінеді. 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Жол регламентациясы бойынша келесі  топқа бөлінеді.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1</w:t>
      </w:r>
      <w:r>
        <w:rPr>
          <w:rFonts w:ascii="Times New Roman Kaz" w:hAnsi="Times New Roman Kaz"/>
          <w:sz w:val="28"/>
          <w:szCs w:val="28"/>
        </w:rPr>
        <w:t>)</w:t>
      </w:r>
      <w:r w:rsidRPr="00DA2F4C">
        <w:rPr>
          <w:rFonts w:ascii="Times New Roman Kaz" w:hAnsi="Times New Roman Kaz"/>
          <w:sz w:val="28"/>
          <w:szCs w:val="28"/>
        </w:rPr>
        <w:t xml:space="preserve"> «А» тобына – автоиобиль және автопойыздар, олар арнайы жоғары дәрежелі жолдарда яғни 1-өсті, 10 т- ға шейін салмақтағы, 2- өсті 18 т- ға дейінгі салмақтағы және жалпы массасы 52 т автокөліктер.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2</w:t>
      </w:r>
      <w:r>
        <w:rPr>
          <w:rFonts w:ascii="Times New Roman Kaz" w:hAnsi="Times New Roman Kaz"/>
          <w:sz w:val="28"/>
          <w:szCs w:val="28"/>
        </w:rPr>
        <w:t>)</w:t>
      </w:r>
      <w:r w:rsidRPr="00DA2F4C">
        <w:rPr>
          <w:rFonts w:ascii="Times New Roman Kaz" w:hAnsi="Times New Roman Kaz"/>
          <w:sz w:val="28"/>
          <w:szCs w:val="28"/>
        </w:rPr>
        <w:t xml:space="preserve"> «Б» тобына – барлық түрлердегі жолдарда пайдаланылатын, 1 өсті өске түсетін ауырлық күші 6 т және 2 өсті, өске түсетін ауырлық күші 11 т болған автомобильдер және автопойыздар.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943CC4">
        <w:rPr>
          <w:rFonts w:ascii="Times New Roman Kaz" w:hAnsi="Times New Roman Kaz"/>
          <w:i/>
          <w:noProof/>
          <w:sz w:val="28"/>
          <w:szCs w:val="28"/>
        </w:rPr>
        <w:lastRenderedPageBreak/>
        <w:t>2. Жүк автокөлік құралдарын жіктеу</w:t>
      </w:r>
      <w:r w:rsidRPr="00800454">
        <w:rPr>
          <w:rFonts w:ascii="Times New Roman Kaz" w:hAnsi="Times New Roman Kaz"/>
          <w:i/>
          <w:noProof/>
          <w:sz w:val="28"/>
          <w:szCs w:val="28"/>
        </w:rPr>
        <w:t xml:space="preserve">. </w:t>
      </w:r>
      <w:r w:rsidRPr="00651E3E">
        <w:rPr>
          <w:rFonts w:ascii="Times New Roman Kaz" w:hAnsi="Times New Roman Kaz"/>
          <w:noProof/>
          <w:sz w:val="28"/>
          <w:szCs w:val="28"/>
        </w:rPr>
        <w:t>Жүк автомобильдері және тіркемелер</w:t>
      </w:r>
      <w:r w:rsidRPr="00651E3E">
        <w:rPr>
          <w:rFonts w:ascii="Times New Roman Kaz" w:hAnsi="Times New Roman Kaz"/>
          <w:b/>
          <w:noProof/>
          <w:sz w:val="28"/>
          <w:szCs w:val="28"/>
        </w:rPr>
        <w:t>.</w:t>
      </w:r>
      <w:r>
        <w:rPr>
          <w:rFonts w:ascii="Times New Roman Kaz" w:hAnsi="Times New Roman Kaz"/>
          <w:b/>
          <w:noProof/>
          <w:sz w:val="28"/>
          <w:szCs w:val="28"/>
        </w:rPr>
        <w:t xml:space="preserve"> </w:t>
      </w:r>
      <w:r w:rsidRPr="00DA2F4C">
        <w:rPr>
          <w:rFonts w:ascii="Times New Roman Kaz" w:hAnsi="Times New Roman Kaz"/>
          <w:noProof/>
          <w:sz w:val="28"/>
          <w:szCs w:val="28"/>
        </w:rPr>
        <w:t>Жүк автомобильдері және тіркемелер жүккөтергіштігіне және  кузовының түріне қарай классификацияланады.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Автомобильдің жүккөтергіштік қабілетіне зауыт дайындаушы таманынан белгілеп береді. Ол кузов түріне және дөңгелек өлшемдеріне сәйкес және әртүрлі жұмыс жағдайында автомобильдің пайдалы салмағымен анықталады.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ТМД елдерінде пайдаланылып жүрген жүк автомобильдері және тіркемелер жүк көтергіштік қабілетіне қарай төмендегіше класстарға бөлінеді: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(0,5; 1,0; 1,5; 3,0; 5,0; 8,0; 16)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1. Өте кіші жүккөтергіштік  0,5 т дейінгі.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2. Жүк көтергіштігі кіші 0,5- 2 т.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3. Орташа жүккөтергіштікті  2- 8 т.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4. Үлкен жүккөтергіштігі 8- 16т.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5. Аса жүккөтергіштігі 16 т- дан жоғары.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Жүк автомобильдері кузовтың  түріне қарай: арнайы және жалпы тұғырламалы.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Бір немесе үш ашылатын борты бар (плотформалы) тұғырмалы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Универсал тұғырлама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Арнайы автомобиль немесе тіркемелі  кеңінен таралған түрлері автомобиль - өзітөккіш фургондар, цистерна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Мұнан басқа – жоғарғы сапалы және жалпы пайдалану жолдарында пайдалануға болатын автомобиль және автопойыздар, яғни бір өстік , өске түсу күші 10- дан жоғары болған көлік құралдары арнайы құрылған көрерлік және орман тасымалдау жолдарында, жолдардан тыста пайдаланылады.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 xml:space="preserve">Құрылымына қарай – автомобиль, (тягачь) тартқыш, тіркеулік құрал болып бөлінеді. Автомобильдер -  двигатель деріне қарай, өту қабілетіне қарай,  жүккөтергіштігіне қарай, орындар санына қарай бірнеше түрге бөлінеді 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lastRenderedPageBreak/>
        <w:t>Двигателдерге қарай: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карбюратолы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дизелиді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газболонды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газтурбинді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электірлік атом энергиясымен істейтінавтомобильдер.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Өту қабілетіне қарай: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жол автомобильдер (өту қабілеті шектелген)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өту қабілеті жоғары.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Өту қабілеті жоғары автомобильдер- дөңгелекті, жартылай- гусеницалы, дөңгелек- гусеницалы, автомобиль- амфибия.</w:t>
      </w:r>
    </w:p>
    <w:p w:rsidR="00DE1804" w:rsidRPr="00651E3E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i/>
          <w:noProof/>
          <w:sz w:val="28"/>
          <w:szCs w:val="28"/>
        </w:rPr>
      </w:pPr>
      <w:r>
        <w:rPr>
          <w:rFonts w:ascii="Times New Roman Kaz" w:hAnsi="Times New Roman Kaz"/>
          <w:i/>
          <w:noProof/>
          <w:sz w:val="28"/>
          <w:szCs w:val="28"/>
        </w:rPr>
        <w:t xml:space="preserve">3. </w:t>
      </w:r>
      <w:r w:rsidRPr="00651E3E">
        <w:rPr>
          <w:rFonts w:ascii="Times New Roman Kaz" w:hAnsi="Times New Roman Kaz"/>
          <w:i/>
          <w:noProof/>
          <w:sz w:val="28"/>
          <w:szCs w:val="28"/>
        </w:rPr>
        <w:t>Жолаушы автокөлік құралдарын жіктеу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Автобустар – жалпы жолаушылар тасымалдауға тағайындалған.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Олар атқаратын міндеттеріне және орындар санына қарай классификацияланады.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Атқаратын міндеттеріне қарай қалалық, қалааралық, қала сыртында, орындар да қатнайтын, саяхаттық, экскурсиялық, мектептік автобустарға: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Жеңіл автомобильдер: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Атқаратын міндеттеріне қарай: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Жеке, қызметтік пайдалану, автомобиль такси, (прокат) жалға берілетін</w:t>
      </w:r>
    </w:p>
    <w:p w:rsidR="00DE1804" w:rsidRPr="00DA2F4C" w:rsidRDefault="00DE1804" w:rsidP="00DE180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Двигатель цилиндрі- жұмысшы көлеміне қарай 5 классқа бөлінеді:</w:t>
      </w:r>
    </w:p>
    <w:p w:rsidR="00DE1804" w:rsidRPr="00DA2F4C" w:rsidRDefault="00DE1804" w:rsidP="00DE1804">
      <w:pPr>
        <w:numPr>
          <w:ilvl w:val="0"/>
          <w:numId w:val="2"/>
        </w:numPr>
        <w:spacing w:line="360" w:lineRule="auto"/>
        <w:jc w:val="both"/>
        <w:rPr>
          <w:rFonts w:ascii="Times New Roman Kaz" w:hAnsi="Times New Roman Kaz"/>
          <w:noProof/>
          <w:sz w:val="28"/>
          <w:szCs w:val="28"/>
        </w:rPr>
      </w:pPr>
      <w:smartTag w:uri="urn:schemas-microsoft-com:office:smarttags" w:element="metricconverter">
        <w:smartTagPr>
          <w:attr w:name="ProductID" w:val="1,2 л"/>
        </w:smartTagPr>
        <w:r w:rsidRPr="00DA2F4C">
          <w:rPr>
            <w:rFonts w:ascii="Times New Roman Kaz" w:hAnsi="Times New Roman Kaz"/>
            <w:noProof/>
            <w:sz w:val="28"/>
            <w:szCs w:val="28"/>
          </w:rPr>
          <w:t>1,2 л</w:t>
        </w:r>
      </w:smartTag>
      <w:r w:rsidRPr="00DA2F4C">
        <w:rPr>
          <w:rFonts w:ascii="Times New Roman Kaz" w:hAnsi="Times New Roman Kaz"/>
          <w:noProof/>
          <w:sz w:val="28"/>
          <w:szCs w:val="28"/>
        </w:rPr>
        <w:t xml:space="preserve"> дейігі өте кіші</w:t>
      </w:r>
    </w:p>
    <w:p w:rsidR="00DE1804" w:rsidRPr="00DA2F4C" w:rsidRDefault="00DE1804" w:rsidP="00DE1804">
      <w:pPr>
        <w:numPr>
          <w:ilvl w:val="0"/>
          <w:numId w:val="2"/>
        </w:numPr>
        <w:spacing w:line="360" w:lineRule="auto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 xml:space="preserve">1,2 Н – </w:t>
      </w:r>
      <w:smartTag w:uri="urn:schemas-microsoft-com:office:smarttags" w:element="metricconverter">
        <w:smartTagPr>
          <w:attr w:name="ProductID" w:val="8 л"/>
        </w:smartTagPr>
        <w:r w:rsidRPr="00DA2F4C">
          <w:rPr>
            <w:rFonts w:ascii="Times New Roman Kaz" w:hAnsi="Times New Roman Kaz"/>
            <w:noProof/>
            <w:sz w:val="28"/>
            <w:szCs w:val="28"/>
          </w:rPr>
          <w:t>8 л</w:t>
        </w:r>
      </w:smartTag>
      <w:r w:rsidRPr="00DA2F4C">
        <w:rPr>
          <w:rFonts w:ascii="Times New Roman Kaz" w:hAnsi="Times New Roman Kaz"/>
          <w:noProof/>
          <w:sz w:val="28"/>
          <w:szCs w:val="28"/>
        </w:rPr>
        <w:t xml:space="preserve"> дейінгі кіші</w:t>
      </w:r>
    </w:p>
    <w:p w:rsidR="00DE1804" w:rsidRPr="00DA2F4C" w:rsidRDefault="00DE1804" w:rsidP="00DE1804">
      <w:pPr>
        <w:numPr>
          <w:ilvl w:val="0"/>
          <w:numId w:val="2"/>
        </w:numPr>
        <w:spacing w:line="360" w:lineRule="auto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 xml:space="preserve">1,8- </w:t>
      </w:r>
      <w:smartTag w:uri="urn:schemas-microsoft-com:office:smarttags" w:element="metricconverter">
        <w:smartTagPr>
          <w:attr w:name="ProductID" w:val="8,5 л"/>
        </w:smartTagPr>
        <w:r w:rsidRPr="00DA2F4C">
          <w:rPr>
            <w:rFonts w:ascii="Times New Roman Kaz" w:hAnsi="Times New Roman Kaz"/>
            <w:noProof/>
            <w:sz w:val="28"/>
            <w:szCs w:val="28"/>
          </w:rPr>
          <w:t>8,5 л</w:t>
        </w:r>
      </w:smartTag>
      <w:r w:rsidRPr="00DA2F4C">
        <w:rPr>
          <w:rFonts w:ascii="Times New Roman Kaz" w:hAnsi="Times New Roman Kaz"/>
          <w:noProof/>
          <w:sz w:val="28"/>
          <w:szCs w:val="28"/>
        </w:rPr>
        <w:t xml:space="preserve"> дейінгі орта</w:t>
      </w:r>
    </w:p>
    <w:p w:rsidR="00DE1804" w:rsidRPr="00DA2F4C" w:rsidRDefault="00DE1804" w:rsidP="00DE1804">
      <w:pPr>
        <w:numPr>
          <w:ilvl w:val="0"/>
          <w:numId w:val="2"/>
        </w:numPr>
        <w:spacing w:line="360" w:lineRule="auto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3,5- нан үлкен үлкен</w:t>
      </w:r>
    </w:p>
    <w:p w:rsidR="00DE1804" w:rsidRDefault="00DE1804" w:rsidP="00DE1804">
      <w:pPr>
        <w:numPr>
          <w:ilvl w:val="0"/>
          <w:numId w:val="2"/>
        </w:numPr>
        <w:spacing w:line="360" w:lineRule="auto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жоғарғы шектелмеген</w:t>
      </w:r>
    </w:p>
    <w:p w:rsidR="00DE1804" w:rsidRPr="00651E3E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i/>
          <w:noProof/>
          <w:sz w:val="28"/>
          <w:szCs w:val="28"/>
        </w:rPr>
      </w:pPr>
      <w:r>
        <w:rPr>
          <w:rFonts w:ascii="Times New Roman Kaz" w:hAnsi="Times New Roman Kaz"/>
          <w:i/>
          <w:noProof/>
          <w:sz w:val="28"/>
          <w:szCs w:val="28"/>
        </w:rPr>
        <w:t xml:space="preserve">4. </w:t>
      </w:r>
      <w:r w:rsidRPr="00651E3E">
        <w:rPr>
          <w:rFonts w:ascii="Times New Roman Kaz" w:hAnsi="Times New Roman Kaz"/>
          <w:i/>
          <w:noProof/>
          <w:sz w:val="28"/>
          <w:szCs w:val="28"/>
        </w:rPr>
        <w:t>Көлік жұмысының сапалық және сандық көрсеткіштері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lastRenderedPageBreak/>
        <w:t xml:space="preserve">Жай тасымалдау циклі үшін жүрістегі жүкағыны және жүкайналымы сәйкес өрнектер арқылы анықталады.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1207770" cy="491490"/>
            <wp:effectExtent l="0" t="0" r="0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Мұнда, 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Q</w:t>
      </w:r>
      <w:r w:rsidRPr="00DA2F4C">
        <w:rPr>
          <w:rFonts w:ascii="Times New Roman Kaz" w:hAnsi="Times New Roman Kaz"/>
          <w:i/>
          <w:color w:val="000000"/>
          <w:sz w:val="28"/>
          <w:szCs w:val="28"/>
          <w:vertAlign w:val="subscript"/>
        </w:rPr>
        <w:t>е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— бір жүрісте тасымалданған жүктің массасы,  т;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д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н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</w:t>
      </w:r>
      <w:r w:rsidRPr="00DA2F4C">
        <w:rPr>
          <w:rFonts w:ascii="Times New Roman Kaz" w:hAnsi="Times New Roman Kaz"/>
          <w:color w:val="000000"/>
          <w:sz w:val="28"/>
          <w:szCs w:val="28"/>
        </w:rPr>
        <w:t>— автомобильдің номиналь жүккөтергіштігі,  т;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i/>
          <w:color w:val="000000"/>
          <w:sz w:val="28"/>
          <w:szCs w:val="28"/>
        </w:rPr>
        <w:t>γ</w:t>
      </w:r>
      <w:r w:rsidRPr="00DA2F4C">
        <w:rPr>
          <w:rFonts w:ascii="Times New Roman Kaz" w:hAnsi="Times New Roman Kaz"/>
          <w:i/>
          <w:color w:val="000000"/>
          <w:sz w:val="28"/>
          <w:szCs w:val="28"/>
          <w:vertAlign w:val="subscript"/>
        </w:rPr>
        <w:t>сш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автомобильдің статикалық жүккөтергішті пайдалану коэффициенті 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Р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е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>жүрісте орындалған көліктік жұмыс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(жүкайналымы), т. км;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i/>
          <w:color w:val="000000"/>
          <w:sz w:val="28"/>
          <w:szCs w:val="28"/>
        </w:rPr>
        <w:t>γ</w:t>
      </w:r>
      <w:r w:rsidRPr="00DA2F4C">
        <w:rPr>
          <w:rFonts w:ascii="Times New Roman Kaz" w:hAnsi="Times New Roman Kaz"/>
          <w:color w:val="000000"/>
          <w:sz w:val="28"/>
          <w:szCs w:val="28"/>
          <w:vertAlign w:val="subscript"/>
        </w:rPr>
        <w:t>д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автомобильдің динамикалық жүккөтергішті пайдалану коэффициенті 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1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ге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</w:t>
      </w:r>
      <w:r w:rsidRPr="00DA2F4C">
        <w:rPr>
          <w:rFonts w:ascii="Times New Roman Kaz" w:hAnsi="Times New Roman Kaz"/>
          <w:color w:val="000000"/>
          <w:sz w:val="28"/>
          <w:szCs w:val="28"/>
        </w:rPr>
        <w:t>— автомобильдің жүрістегі жүкпен жүрген жолының ұзындығы., км.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Тасымалдаудың орташа арақашықтығы келесі қатынаста анықталады.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941705" cy="45021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70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Жай цикл үшін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1  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=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1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п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, онда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у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с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„ </w:t>
      </w:r>
      <w:r w:rsidRPr="00DA2F4C">
        <w:rPr>
          <w:rFonts w:ascii="Times New Roman Kaz" w:hAnsi="Times New Roman Kaz"/>
          <w:color w:val="000000"/>
          <w:sz w:val="28"/>
          <w:szCs w:val="28"/>
        </w:rPr>
        <w:t>= У,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Аралас цикл үшін көліктік жұмысты есептеуді таратушы цикл мысалында қарастырамыз.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Таратушы циклдің схемасы келесідей берілген болсын  (сурет. 5).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/>
          <w:iCs/>
          <w:color w:val="000000"/>
          <w:sz w:val="28"/>
          <w:szCs w:val="28"/>
        </w:rPr>
      </w:pPr>
      <w:r>
        <w:rPr>
          <w:rFonts w:ascii="Times New Roman Kaz" w:hAnsi="Times New Roman Kaz"/>
          <w:i/>
          <w:iCs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2442845" cy="1958340"/>
            <wp:effectExtent l="0" t="0" r="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84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Cs/>
          <w:color w:val="000000"/>
          <w:sz w:val="28"/>
          <w:szCs w:val="28"/>
        </w:rPr>
      </w:pP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 6-сурет. </w:t>
      </w:r>
      <w:r w:rsidRPr="00DA2F4C">
        <w:rPr>
          <w:rFonts w:ascii="Times New Roman Kaz" w:hAnsi="Times New Roman Kaz"/>
          <w:color w:val="000000"/>
          <w:sz w:val="28"/>
          <w:szCs w:val="28"/>
        </w:rPr>
        <w:t>Таратушы циклдің схемасы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бір жүрісте  тасымалданатын жүктің шамасы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b/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1016635" cy="46418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b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Жүккөтергішті пайдаланудың статикалық коэффицменті келесі қатынаста табылады.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b/>
          <w:color w:val="000000"/>
          <w:sz w:val="28"/>
          <w:szCs w:val="28"/>
        </w:rPr>
      </w:pPr>
      <w:r>
        <w:rPr>
          <w:rFonts w:ascii="Times New Roman Kaz" w:hAnsi="Times New Roman Kaz"/>
          <w:b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791845" cy="532130"/>
            <wp:effectExtent l="0" t="0" r="8255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Бір жүрісте орындалған көліктік жұмыс келесі өрнек арқылы анықталады.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975995" cy="49784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99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Жүккөтергішті пайдаланудың динамикалық коэффицменті келесі қатынаста табылады: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1678940" cy="791845"/>
            <wp:effectExtent l="0" t="0" r="0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1 т. Жүкті тасыалдаудың орташа арақашықтығы келесідей өрнектеледі.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2347595" cy="969010"/>
            <wp:effectExtent l="0" t="0" r="0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595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ЖҮК  автомобилінің өнімділігі уақыт бірлігі ішінде тасымалданған жүктің шамасымен тоннада немесе орындалған көліктік жұмыстың тоннакилометрмен анықталады..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Cs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Бір жүріске кеткен уақытты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e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белгілесек онда автомобильдің сағаттық өнімділігі тоннада, т/сағ., ал тоннакилометрде т.км/сағ., болады.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lastRenderedPageBreak/>
        <w:drawing>
          <wp:inline distT="0" distB="0" distL="0" distR="0">
            <wp:extent cx="1412240" cy="47752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47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1473835" cy="46418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Cs/>
          <w:color w:val="000000"/>
          <w:sz w:val="28"/>
          <w:szCs w:val="28"/>
          <w:vertAlign w:val="subscript"/>
        </w:rPr>
        <w:t>е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жүріс үшін қозғалу уақыты;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n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тиеу-түсіру жұмыстарын орындау уақыты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Қозғалу уақыты автомобиль жүріп өтетін (жүкпен және жүксіз) жолдың ұзындығына және техникалық жылдамдыққа тәуелді. 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593725" cy="395605"/>
            <wp:effectExtent l="0" t="0" r="0" b="44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l</w:t>
      </w:r>
      <w:r w:rsidRPr="00DA2F4C">
        <w:rPr>
          <w:rFonts w:ascii="Times New Roman Kaz" w:hAnsi="Times New Roman Kaz"/>
          <w:color w:val="000000"/>
          <w:sz w:val="28"/>
          <w:szCs w:val="28"/>
          <w:vertAlign w:val="subscript"/>
        </w:rPr>
        <w:t>ен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автомобилдің жүрістегі, нөлдік жүрісті есепке алғандағы жалпы жолы ,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Автомобильдің бір жүрістегі жүрген жолды пайдалану коэффициентін төмендегіше анықтаймыз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416560" cy="313690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Бір жүріске кеткен уақыт,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1746885" cy="416560"/>
            <wp:effectExtent l="0" t="0" r="571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85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Онда автомобильдің тоннадағы сағаттық өнімділігі;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2190750" cy="5867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ал тоннакилометрдегі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2067560" cy="566420"/>
            <wp:effectExtent l="0" t="0" r="8890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Өнімділікті арттыру жолдары пайдалану көрсеткішін жақсарту мүмкіндіктерінен құрылады.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q</w:t>
      </w:r>
      <w:r w:rsidRPr="00DA2F4C">
        <w:rPr>
          <w:rFonts w:ascii="Times New Roman Kaz" w:hAnsi="Times New Roman Kaz"/>
          <w:i/>
          <w:color w:val="000000"/>
          <w:sz w:val="28"/>
          <w:szCs w:val="28"/>
          <w:vertAlign w:val="subscript"/>
        </w:rPr>
        <w:t>н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-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ді арттыру, автомобильдің жүккөтергіштігін арттыру үшін автопоезді пайдалану арқылы және жолды жақсарту арқылы қол жеткіземіз. </w:t>
      </w:r>
      <w:proofErr w:type="gramStart"/>
      <w:r w:rsidRPr="00DA2F4C">
        <w:rPr>
          <w:rFonts w:ascii="Times New Roman Kaz" w:hAnsi="Times New Roman Kaz"/>
          <w:color w:val="000000"/>
          <w:sz w:val="28"/>
          <w:szCs w:val="28"/>
          <w:lang w:val="en-US"/>
        </w:rPr>
        <w:t>γ</w:t>
      </w:r>
      <w:r w:rsidRPr="00DA2F4C">
        <w:rPr>
          <w:rFonts w:ascii="Times New Roman Kaz" w:hAnsi="Times New Roman Kaz"/>
          <w:color w:val="000000"/>
          <w:sz w:val="28"/>
          <w:szCs w:val="28"/>
        </w:rPr>
        <w:t>-ні</w:t>
      </w:r>
      <w:proofErr w:type="gramEnd"/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арттыру үшін  жүк партиясын топтау, арнайы кузовты пайдалану қажет.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V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-ны арттыру автомобильдің, жолдың құрылымын жақсарту, көлік ағындарының қозғалысын реттеу арқылы мүмкін. ß-ні  </w:t>
      </w:r>
      <w:r w:rsidRPr="00DA2F4C">
        <w:rPr>
          <w:rFonts w:ascii="Times New Roman Kaz" w:hAnsi="Times New Roman Kaz"/>
          <w:color w:val="000000"/>
          <w:sz w:val="28"/>
          <w:szCs w:val="28"/>
        </w:rPr>
        <w:lastRenderedPageBreak/>
        <w:t xml:space="preserve">арттыруды автомобиль көлігін басқарудың автоматты жүйесін қолданумен, автомобиль тұрақтарын жұмыс нысандарына жақындату, линиядағы жүргізушілердің жұмыс ауысымын жақсартумен  мүмкін болады.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n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-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ні азайту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>автомобильдер мен тиеу-түсіру пункттерінің жұмысын тетіктендіру және сайластырумен қол жеткізуге болады.</w:t>
      </w:r>
      <w:r w:rsidRPr="00DA2F4C">
        <w:rPr>
          <w:rFonts w:ascii="Times New Roman Kaz" w:hAnsi="Times New Roman Kaz"/>
          <w:color w:val="000000"/>
          <w:sz w:val="28"/>
          <w:szCs w:val="28"/>
        </w:rPr>
        <w:t>.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Автобустың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 xml:space="preserve">өнімділігі 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тасымалданған жолаушылар санымен немесе линиядағы жұмыс сағаттарында орындалған жолаушы.км дің шамасымен анықталады.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/>
          <w:iCs/>
          <w:color w:val="000000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1105535" cy="31369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Рейс уақыты  </w:t>
      </w:r>
      <w:proofErr w:type="spellStart"/>
      <w:r w:rsidRPr="00DA2F4C">
        <w:rPr>
          <w:rFonts w:ascii="Times New Roman Kaz" w:hAnsi="Times New Roman Kaz"/>
          <w:i/>
          <w:iCs/>
          <w:color w:val="000000"/>
          <w:sz w:val="28"/>
          <w:szCs w:val="28"/>
          <w:lang w:val="en-US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  <w:lang w:val="en-US"/>
        </w:rPr>
        <w:t>p</w:t>
      </w:r>
      <w:proofErr w:type="spellEnd"/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1391920" cy="204470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92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дв</w:t>
      </w:r>
      <w:r w:rsidRPr="00DA2F4C">
        <w:rPr>
          <w:rFonts w:ascii="Times New Roman Kaz" w:hAnsi="Times New Roman Kaz"/>
          <w:i/>
          <w:iCs/>
          <w:smallCaps/>
          <w:color w:val="000000"/>
          <w:sz w:val="28"/>
          <w:szCs w:val="28"/>
        </w:rPr>
        <w:t xml:space="preserve">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қозғалыстағы уақыт 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; п — маршруттағы аралық аялдамалар саны,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on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>жолаушыларды отырғызу және түсіру үшін тоқтау уақыты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t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ок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маршруттың соңғы аялдамасында тұру уақыты.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Автобустың қозғалыстағы уақыты;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573405" cy="273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l</w:t>
      </w:r>
      <w:r w:rsidRPr="00DA2F4C">
        <w:rPr>
          <w:rFonts w:ascii="Times New Roman Kaz" w:hAnsi="Times New Roman Kaz"/>
          <w:color w:val="000000"/>
          <w:sz w:val="28"/>
          <w:szCs w:val="28"/>
          <w:vertAlign w:val="subscript"/>
        </w:rPr>
        <w:t>м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длина маршрута;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V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m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>автобустың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техникалық жылдамдығы;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/3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жүрісті пайдалану коэффициенті.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Онда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  <w:lang w:val="ru-RU"/>
        </w:rPr>
        <w:drawing>
          <wp:inline distT="0" distB="0" distL="0" distR="0">
            <wp:extent cx="1296670" cy="34798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Рейс үшін тасымалданған жолаушылар саны;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1194435" cy="23177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q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автобустың сиымдылығы </w:t>
      </w:r>
      <w:r w:rsidRPr="00DA2F4C">
        <w:rPr>
          <w:rFonts w:ascii="Times New Roman Kaz" w:hAnsi="Times New Roman Kaz"/>
          <w:color w:val="000000"/>
          <w:sz w:val="28"/>
          <w:szCs w:val="28"/>
        </w:rPr>
        <w:t>(орындар саны); γ</w:t>
      </w:r>
      <w:r w:rsidRPr="00DA2F4C">
        <w:rPr>
          <w:rFonts w:ascii="Times New Roman Kaz" w:hAnsi="Times New Roman Kaz"/>
          <w:iCs/>
          <w:color w:val="000000"/>
          <w:sz w:val="28"/>
          <w:szCs w:val="28"/>
          <w:vertAlign w:val="subscript"/>
        </w:rPr>
        <w:t>вм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 xml:space="preserve"> —сиымдылықты пайдалану 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коэффициенті;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h</w:t>
      </w:r>
      <w:r w:rsidRPr="00DA2F4C">
        <w:rPr>
          <w:rFonts w:ascii="Times New Roman Kaz" w:hAnsi="Times New Roman Kaz"/>
          <w:color w:val="000000"/>
          <w:sz w:val="28"/>
          <w:szCs w:val="28"/>
          <w:vertAlign w:val="subscript"/>
        </w:rPr>
        <w:t>см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жолаушылардың ауысымдылық коэффициент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жолаушылардың ауысымдылық коэффициенті</w:t>
      </w:r>
      <w:r w:rsidRPr="00DA2F4C">
        <w:rPr>
          <w:rFonts w:ascii="Times New Roman Kaz" w:hAnsi="Times New Roman Kaz"/>
          <w:i/>
          <w:color w:val="000000"/>
          <w:sz w:val="28"/>
          <w:szCs w:val="28"/>
          <w:lang w:val="en-US"/>
        </w:rPr>
        <w:t xml:space="preserve"> h</w:t>
      </w:r>
      <w:r w:rsidRPr="00DA2F4C">
        <w:rPr>
          <w:rFonts w:ascii="Times New Roman Kaz" w:hAnsi="Times New Roman Kaz"/>
          <w:i/>
          <w:color w:val="000000"/>
          <w:sz w:val="28"/>
          <w:szCs w:val="28"/>
          <w:vertAlign w:val="subscript"/>
        </w:rPr>
        <w:t>с</w:t>
      </w:r>
      <w:r w:rsidRPr="00DA2F4C">
        <w:rPr>
          <w:rFonts w:ascii="Times New Roman Kaz" w:hAnsi="Times New Roman Kaz"/>
          <w:color w:val="000000"/>
          <w:sz w:val="28"/>
          <w:szCs w:val="28"/>
          <w:vertAlign w:val="subscript"/>
        </w:rPr>
        <w:t>м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655320" cy="4229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color w:val="000000"/>
          <w:sz w:val="28"/>
          <w:szCs w:val="28"/>
        </w:rPr>
        <w:t>l</w:t>
      </w:r>
      <w:r w:rsidRPr="00DA2F4C">
        <w:rPr>
          <w:rFonts w:ascii="Times New Roman Kaz" w:hAnsi="Times New Roman Kaz"/>
          <w:i/>
          <w:color w:val="000000"/>
          <w:sz w:val="28"/>
          <w:szCs w:val="28"/>
          <w:vertAlign w:val="subscript"/>
        </w:rPr>
        <w:t>en</w:t>
      </w: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 — жолушылардың жүрісінің орташа ұзақтығы 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Жолушылардың жүрісінің орташа ұзақтығы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  <w:lang w:val="ru-RU"/>
        </w:rPr>
        <w:drawing>
          <wp:inline distT="0" distB="0" distL="0" distR="0">
            <wp:extent cx="579755" cy="382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 xml:space="preserve">Мұнда 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>1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  <w:vertAlign w:val="subscript"/>
        </w:rPr>
        <w:t>п</w:t>
      </w:r>
      <w:r w:rsidRPr="00DA2F4C">
        <w:rPr>
          <w:rFonts w:ascii="Times New Roman Kaz" w:hAnsi="Times New Roman Kaz"/>
          <w:i/>
          <w:iCs/>
          <w:color w:val="000000"/>
          <w:sz w:val="28"/>
          <w:szCs w:val="28"/>
        </w:rPr>
        <w:t xml:space="preserve"> — </w:t>
      </w:r>
      <w:r w:rsidRPr="00DA2F4C">
        <w:rPr>
          <w:rFonts w:ascii="Times New Roman Kaz" w:hAnsi="Times New Roman Kaz"/>
          <w:iCs/>
          <w:color w:val="000000"/>
          <w:sz w:val="28"/>
          <w:szCs w:val="28"/>
        </w:rPr>
        <w:t>бір жолаушының жүрген жолының ұзындығы</w:t>
      </w:r>
      <w:r w:rsidRPr="00DA2F4C">
        <w:rPr>
          <w:rFonts w:ascii="Times New Roman Kaz" w:hAnsi="Times New Roman Kaz"/>
          <w:color w:val="000000"/>
          <w:sz w:val="28"/>
          <w:szCs w:val="28"/>
        </w:rPr>
        <w:t>; Q — тасымалданған жолаушылар саны.(жолаушы/сағат)</w:t>
      </w:r>
    </w:p>
    <w:p w:rsidR="00DE1804" w:rsidRPr="00DA2F4C" w:rsidRDefault="00DE1804" w:rsidP="00DE1804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 w:rsidRPr="00DA2F4C">
        <w:rPr>
          <w:rFonts w:ascii="Times New Roman Kaz" w:hAnsi="Times New Roman Kaz"/>
          <w:color w:val="000000"/>
          <w:sz w:val="28"/>
          <w:szCs w:val="28"/>
        </w:rPr>
        <w:t>Рейстегі автобусьың орындаған көліктік жұмысы:</w:t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b/>
          <w:sz w:val="28"/>
          <w:szCs w:val="28"/>
        </w:rPr>
      </w:pPr>
      <w:r>
        <w:rPr>
          <w:rFonts w:ascii="Times New Roman Kaz" w:hAnsi="Times New Roman Kaz"/>
          <w:b/>
          <w:noProof/>
          <w:sz w:val="28"/>
          <w:szCs w:val="28"/>
          <w:lang w:val="ru-RU"/>
        </w:rPr>
        <w:drawing>
          <wp:inline distT="0" distB="0" distL="0" distR="0">
            <wp:extent cx="2122170" cy="1498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14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b/>
          <w:sz w:val="28"/>
          <w:szCs w:val="28"/>
          <w:lang w:val="en-US"/>
        </w:rPr>
      </w:pPr>
      <w:r>
        <w:rPr>
          <w:rFonts w:ascii="Times New Roman Kaz" w:hAnsi="Times New Roman Kaz"/>
          <w:b/>
          <w:noProof/>
          <w:sz w:val="28"/>
          <w:szCs w:val="28"/>
          <w:lang w:val="ru-RU"/>
        </w:rPr>
        <w:drawing>
          <wp:inline distT="0" distB="0" distL="0" distR="0">
            <wp:extent cx="2149475" cy="552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4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04" w:rsidRPr="00DA2F4C" w:rsidRDefault="00DE1804" w:rsidP="00DE1804">
      <w:pPr>
        <w:spacing w:line="360" w:lineRule="auto"/>
        <w:ind w:firstLine="851"/>
        <w:jc w:val="both"/>
        <w:rPr>
          <w:rFonts w:ascii="Times New Roman Kaz" w:hAnsi="Times New Roman Kaz"/>
          <w:b/>
          <w:sz w:val="28"/>
          <w:szCs w:val="28"/>
        </w:rPr>
      </w:pPr>
    </w:p>
    <w:p w:rsidR="00A56F4E" w:rsidRDefault="00A56F4E"/>
    <w:sectPr w:rsidR="00A5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az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17782"/>
    <w:multiLevelType w:val="singleLevel"/>
    <w:tmpl w:val="32E62250"/>
    <w:lvl w:ilvl="0">
      <w:start w:val="1"/>
      <w:numFmt w:val="bullet"/>
      <w:lvlText w:val="-"/>
      <w:lvlJc w:val="left"/>
      <w:pPr>
        <w:tabs>
          <w:tab w:val="num" w:pos="814"/>
        </w:tabs>
        <w:ind w:left="814" w:hanging="360"/>
      </w:pPr>
      <w:rPr>
        <w:rFonts w:ascii="Times New Roman" w:hAnsi="Times New Roman" w:hint="default"/>
      </w:rPr>
    </w:lvl>
  </w:abstractNum>
  <w:abstractNum w:abstractNumId="1">
    <w:nsid w:val="6CA2505A"/>
    <w:multiLevelType w:val="hybridMultilevel"/>
    <w:tmpl w:val="8078EDAC"/>
    <w:lvl w:ilvl="0" w:tplc="04190005">
      <w:start w:val="1"/>
      <w:numFmt w:val="bullet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7E0"/>
    <w:rsid w:val="00A56F4E"/>
    <w:rsid w:val="00D677E0"/>
    <w:rsid w:val="00DE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8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8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804"/>
    <w:rPr>
      <w:rFonts w:ascii="Tahoma" w:eastAsia="Times New Roman" w:hAnsi="Tahoma" w:cs="Tahoma"/>
      <w:sz w:val="16"/>
      <w:szCs w:val="16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8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8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804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1116</Words>
  <Characters>6366</Characters>
  <Application>Microsoft Office Word</Application>
  <DocSecurity>0</DocSecurity>
  <Lines>53</Lines>
  <Paragraphs>14</Paragraphs>
  <ScaleCrop>false</ScaleCrop>
  <Company>SPecialiST RePack</Company>
  <LinksUpToDate>false</LinksUpToDate>
  <CharactersWithSpaces>7468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2019-10-15T05:13:00Z</dcterms:created>
  <dcterms:modified xsi:type="dcterms:W3CDTF">2019-10-15T05:14:00Z</dcterms:modified>
</cp:coreProperties>
</file>